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A0" w:rsidRDefault="001971A0" w:rsidP="001971A0">
      <w:pPr>
        <w:rPr>
          <w:rFonts w:ascii="Verdana" w:eastAsia="Times New Roman" w:hAnsi="Verdana"/>
          <w:color w:val="000000"/>
          <w:sz w:val="20"/>
          <w:szCs w:val="20"/>
        </w:rPr>
      </w:pPr>
      <w:r>
        <w:rPr>
          <w:rFonts w:ascii="Verdana" w:eastAsia="Times New Roman" w:hAnsi="Verdana"/>
          <w:b/>
          <w:bCs/>
          <w:color w:val="000000"/>
        </w:rPr>
        <w:t xml:space="preserve">Domarrapport - SGF </w:t>
      </w:r>
      <w:proofErr w:type="spellStart"/>
      <w:r>
        <w:rPr>
          <w:rFonts w:ascii="Verdana" w:eastAsia="Times New Roman" w:hAnsi="Verdana"/>
          <w:b/>
          <w:bCs/>
          <w:color w:val="000000"/>
        </w:rPr>
        <w:t>Teen</w:t>
      </w:r>
      <w:proofErr w:type="spellEnd"/>
      <w:r>
        <w:rPr>
          <w:rFonts w:ascii="Verdana" w:eastAsia="Times New Roman" w:hAnsi="Verdana"/>
          <w:b/>
          <w:bCs/>
          <w:color w:val="000000"/>
        </w:rPr>
        <w:t xml:space="preserve"> Tour </w:t>
      </w:r>
      <w:proofErr w:type="spellStart"/>
      <w:r>
        <w:rPr>
          <w:rFonts w:ascii="Verdana" w:eastAsia="Times New Roman" w:hAnsi="Verdana"/>
          <w:b/>
          <w:bCs/>
          <w:color w:val="000000"/>
        </w:rPr>
        <w:t>First</w:t>
      </w:r>
      <w:proofErr w:type="spellEnd"/>
      <w:r>
        <w:rPr>
          <w:rFonts w:ascii="Verdana" w:eastAsia="Times New Roman" w:hAnsi="Verdana"/>
          <w:b/>
          <w:bCs/>
          <w:color w:val="000000"/>
        </w:rPr>
        <w:t xml:space="preserve"> #1 Sörmland och Rookie Tour #1 Sörmland</w:t>
      </w:r>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SGF </w:t>
      </w:r>
      <w:proofErr w:type="spellStart"/>
      <w:r>
        <w:rPr>
          <w:rFonts w:ascii="Verdana" w:eastAsia="Times New Roman" w:hAnsi="Verdana"/>
          <w:color w:val="000000"/>
          <w:sz w:val="20"/>
          <w:szCs w:val="20"/>
        </w:rPr>
        <w:t>Teen</w:t>
      </w:r>
      <w:proofErr w:type="spellEnd"/>
      <w:r>
        <w:rPr>
          <w:rFonts w:ascii="Verdana" w:eastAsia="Times New Roman" w:hAnsi="Verdana"/>
          <w:color w:val="000000"/>
          <w:sz w:val="20"/>
          <w:szCs w:val="20"/>
        </w:rPr>
        <w:t xml:space="preserve"> Tour </w:t>
      </w:r>
      <w:proofErr w:type="spellStart"/>
      <w:r>
        <w:rPr>
          <w:rFonts w:ascii="Verdana" w:eastAsia="Times New Roman" w:hAnsi="Verdana"/>
          <w:color w:val="000000"/>
          <w:sz w:val="20"/>
          <w:szCs w:val="20"/>
        </w:rPr>
        <w:t>First</w:t>
      </w:r>
      <w:proofErr w:type="spellEnd"/>
      <w:r>
        <w:rPr>
          <w:rFonts w:ascii="Verdana" w:eastAsia="Times New Roman" w:hAnsi="Verdana"/>
          <w:color w:val="000000"/>
          <w:sz w:val="20"/>
          <w:szCs w:val="20"/>
        </w:rPr>
        <w:t xml:space="preserve"> #1 Sörmland och Rookie Tour #1 Sörmland</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Torshälla GK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2 flickor och 19 pojkar resp. 14 deltagare</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Torgny Larsson, Torshälla GK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 xml:space="preserve">Hans Peterson, Håkan Norling och Kjell Ekvall, </w:t>
      </w:r>
      <w:proofErr w:type="spellStart"/>
      <w:r>
        <w:rPr>
          <w:rFonts w:ascii="Verdana" w:eastAsia="Times New Roman" w:hAnsi="Verdana"/>
          <w:color w:val="000000"/>
          <w:sz w:val="20"/>
          <w:szCs w:val="20"/>
        </w:rPr>
        <w:t>SöGDF</w:t>
      </w:r>
      <w:proofErr w:type="spellEnd"/>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Noteringar från baninspektion 2019-05-15</w:t>
      </w:r>
      <w:r>
        <w:rPr>
          <w:rFonts w:ascii="Verdana" w:eastAsia="Times New Roman" w:hAnsi="Verdana"/>
          <w:color w:val="000000"/>
          <w:sz w:val="20"/>
          <w:szCs w:val="20"/>
        </w:rPr>
        <w:br/>
      </w:r>
      <w:bookmarkStart w:id="0" w:name="_GoBack"/>
      <w:bookmarkEnd w:id="0"/>
      <w:r>
        <w:rPr>
          <w:rFonts w:ascii="Verdana" w:eastAsia="Times New Roman" w:hAnsi="Verdana"/>
          <w:color w:val="000000"/>
          <w:sz w:val="20"/>
          <w:szCs w:val="20"/>
        </w:rPr>
        <w:br/>
        <w:t>Generellt</w:t>
      </w:r>
      <w:r>
        <w:rPr>
          <w:rFonts w:ascii="Verdana" w:eastAsia="Times New Roman" w:hAnsi="Verdana"/>
          <w:color w:val="000000"/>
          <w:sz w:val="20"/>
          <w:szCs w:val="20"/>
        </w:rPr>
        <w:br/>
        <w:t>Banan har ännu inte återhämtat sig helt från vintern. På vissa hål finns både små och stora skador. Vi föreslår att man ändrar den tillfälliga lokala regeln under tävlingen till att tillåta lägesförbättring inom en klubblängd.</w:t>
      </w:r>
      <w:r>
        <w:rPr>
          <w:rFonts w:ascii="Verdana" w:eastAsia="Times New Roman" w:hAnsi="Verdana"/>
          <w:color w:val="000000"/>
          <w:sz w:val="20"/>
          <w:szCs w:val="20"/>
        </w:rPr>
        <w:br/>
        <w:t>Specifikt</w:t>
      </w:r>
      <w:r>
        <w:rPr>
          <w:rFonts w:ascii="Verdana" w:eastAsia="Times New Roman" w:hAnsi="Verdana"/>
          <w:color w:val="000000"/>
          <w:sz w:val="20"/>
          <w:szCs w:val="20"/>
        </w:rPr>
        <w:br/>
        <w:t>Hål 3: OOB-markeringen före diket mellan tee 4 och 5 är indragen i banan så att ett relativt stort semiruffområde hamnar OOB. Vi föreslår att en vit pinne placeras i hörnet till vänster om denna indragna pinne och i linje med övriga vita pinnar längs banvallen.</w:t>
      </w:r>
      <w:r>
        <w:rPr>
          <w:rFonts w:ascii="Verdana" w:eastAsia="Times New Roman" w:hAnsi="Verdana"/>
          <w:color w:val="000000"/>
          <w:sz w:val="20"/>
          <w:szCs w:val="20"/>
        </w:rPr>
        <w:br/>
        <w:t>Hål 5: Det var inte tydligt för oss var OOB börjar vid järnvägsövergången. En vit pinne vid övergången är önskvärd för att underlätta bedömningen.</w:t>
      </w:r>
      <w:r>
        <w:rPr>
          <w:rFonts w:ascii="Verdana" w:eastAsia="Times New Roman" w:hAnsi="Verdana"/>
          <w:color w:val="000000"/>
          <w:sz w:val="20"/>
          <w:szCs w:val="20"/>
        </w:rPr>
        <w:br/>
        <w:t>Hål 6: En lång/hög röd pinne i linje med och precis innan första vänsterkanten av dammen till höger (bakom björkarna) är önskvärd, för att underlätta bedömningen av var bollen landat.</w:t>
      </w:r>
      <w:r>
        <w:rPr>
          <w:rFonts w:ascii="Verdana" w:eastAsia="Times New Roman" w:hAnsi="Verdana"/>
          <w:color w:val="000000"/>
          <w:sz w:val="20"/>
          <w:szCs w:val="20"/>
        </w:rPr>
        <w:br/>
        <w:t>Hål 11: Det oändliga pliktområdet till vänster kan alternativt ändras till att omfatta området till vänster om vägen. Det bör i så fall förtydligas i lokal regel att vägen utgör gräns för pliktområdet. Spelarna kan därmed få lättnad utan plikt för boll som stannar på vägen längs hela vägsträckan. Var pliktområdet slutar i spelriktningen bör framgå tydligt.</w:t>
      </w:r>
      <w:r>
        <w:rPr>
          <w:rFonts w:ascii="Verdana" w:eastAsia="Times New Roman" w:hAnsi="Verdana"/>
          <w:color w:val="000000"/>
          <w:sz w:val="20"/>
          <w:szCs w:val="20"/>
        </w:rPr>
        <w:br/>
        <w:t>Vi bedömde att broarna över diket tvärs över hål 16 bör ingå i pliktområdet. Om TL beslutar annorlunda bör detta markeras tydligt.</w:t>
      </w:r>
      <w:r>
        <w:rPr>
          <w:rFonts w:ascii="Verdana" w:eastAsia="Times New Roman" w:hAnsi="Verdana"/>
          <w:color w:val="000000"/>
          <w:sz w:val="20"/>
          <w:szCs w:val="20"/>
        </w:rPr>
        <w:br/>
        <w:t>Träbroarna över diket tvärs över hål 17 och hål 18 bör av speltemposkäl utgöra del av spelfältet. Om TL följer denna rekommendation bör detta markeras och anges i lokal regel.</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1971A0" w:rsidRDefault="001971A0" w:rsidP="001971A0">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Inga</w:t>
      </w:r>
    </w:p>
    <w:p w:rsidR="00D005A4" w:rsidRPr="009A0C07" w:rsidRDefault="001971A0" w:rsidP="001971A0">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t>Vid ett par tillfällen blev domare tillfrågade i bedömningsfrågor.</w:t>
      </w:r>
    </w:p>
    <w:sectPr w:rsidR="00D005A4" w:rsidRPr="009A0C07"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54AB4"/>
    <w:multiLevelType w:val="multilevel"/>
    <w:tmpl w:val="22FC9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A0"/>
    <w:rsid w:val="001971A0"/>
    <w:rsid w:val="002C5878"/>
    <w:rsid w:val="003849B2"/>
    <w:rsid w:val="006E5388"/>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A0"/>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A0"/>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DCEC-CE91-42A0-9BEE-E5A34B24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1700</Characters>
  <Application>Microsoft Office Word</Application>
  <DocSecurity>0</DocSecurity>
  <Lines>14</Lines>
  <Paragraphs>4</Paragraphs>
  <ScaleCrop>false</ScaleCrop>
  <Company>Polismyndigheten</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1</cp:revision>
  <dcterms:created xsi:type="dcterms:W3CDTF">2019-05-22T05:52:00Z</dcterms:created>
  <dcterms:modified xsi:type="dcterms:W3CDTF">2019-05-22T05:55:00Z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